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D4" w:rsidRPr="00A953D4" w:rsidRDefault="00A953D4" w:rsidP="00A953D4">
      <w:pPr>
        <w:rPr>
          <w:sz w:val="28"/>
          <w:lang w:eastAsia="kk-KZ"/>
        </w:rPr>
      </w:pPr>
      <w:r w:rsidRPr="00A953D4">
        <w:rPr>
          <w:sz w:val="28"/>
          <w:lang w:eastAsia="kk-KZ"/>
        </w:rPr>
        <w:t>Об утверждении Правил организации учебного процесса по кредитной технологии обучения в организациях технического и профессионального, послесреднего образования</w:t>
      </w:r>
    </w:p>
    <w:p w:rsidR="00A953D4" w:rsidRPr="00A953D4" w:rsidRDefault="00A953D4" w:rsidP="00A953D4">
      <w:pPr>
        <w:rPr>
          <w:color w:val="666666"/>
          <w:spacing w:val="2"/>
          <w:sz w:val="20"/>
          <w:szCs w:val="20"/>
          <w:lang w:eastAsia="kk-KZ"/>
        </w:rPr>
      </w:pPr>
      <w:r w:rsidRPr="00A953D4">
        <w:rPr>
          <w:color w:val="666666"/>
          <w:spacing w:val="2"/>
          <w:sz w:val="20"/>
          <w:szCs w:val="20"/>
          <w:lang w:eastAsia="kk-KZ"/>
        </w:rPr>
        <w:t>Приказ Министра просвещения Республики Казахстан от 28 марта 2023 года № 75. Зарегистрирован в Министерстве юстиции Республики Казахстан 29 марта 2023 года № 32140.</w:t>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5" w:anchor="z1234" w:history="1">
        <w:r>
          <w:rPr>
            <w:rStyle w:val="a4"/>
            <w:rFonts w:ascii="Courier New" w:hAnsi="Courier New" w:cs="Courier New"/>
            <w:color w:val="073A5E"/>
            <w:spacing w:val="2"/>
            <w:sz w:val="20"/>
            <w:szCs w:val="20"/>
          </w:rPr>
          <w:t>подпунктом 62)</w:t>
        </w:r>
      </w:hyperlink>
      <w:r>
        <w:rPr>
          <w:rFonts w:ascii="Courier New" w:hAnsi="Courier New" w:cs="Courier New"/>
          <w:color w:val="000000"/>
          <w:spacing w:val="2"/>
          <w:sz w:val="20"/>
          <w:szCs w:val="20"/>
        </w:rPr>
        <w:t> статьи 5 Закона Республики Казахстан "Об образовании", </w:t>
      </w:r>
      <w:r>
        <w:rPr>
          <w:rFonts w:ascii="Courier New" w:hAnsi="Courier New" w:cs="Courier New"/>
          <w:b/>
          <w:bCs/>
          <w:color w:val="000000"/>
          <w:spacing w:val="2"/>
          <w:sz w:val="20"/>
          <w:szCs w:val="20"/>
          <w:bdr w:val="none" w:sz="0" w:space="0" w:color="auto" w:frame="1"/>
        </w:rPr>
        <w:t>ПРИКАЗЫВАЮ</w:t>
      </w:r>
      <w:r>
        <w:rPr>
          <w:rFonts w:ascii="Courier New" w:hAnsi="Courier New" w:cs="Courier New"/>
          <w:color w:val="000000"/>
          <w:spacing w:val="2"/>
          <w:sz w:val="20"/>
          <w:szCs w:val="20"/>
        </w:rPr>
        <w:t>:</w:t>
      </w:r>
    </w:p>
    <w:p w:rsidR="00A953D4" w:rsidRDefault="00A953D4" w:rsidP="00A953D4">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Преамбула – в редакции приказа Министра просвещения РК от 19.06.2023 </w:t>
      </w:r>
      <w:hyperlink r:id="rId6" w:anchor="z6" w:history="1">
        <w:r>
          <w:rPr>
            <w:rStyle w:val="a4"/>
            <w:rFonts w:ascii="Courier New" w:hAnsi="Courier New" w:cs="Courier New"/>
            <w:color w:val="073A5E"/>
            <w:sz w:val="20"/>
            <w:szCs w:val="20"/>
            <w:shd w:val="clear" w:color="auto" w:fill="FFFFFF"/>
          </w:rPr>
          <w:t>№ 176</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Утвердить прилагаемые </w:t>
      </w:r>
      <w:hyperlink r:id="rId7" w:anchor="z17" w:history="1">
        <w:r>
          <w:rPr>
            <w:rStyle w:val="a4"/>
            <w:rFonts w:ascii="Courier New" w:hAnsi="Courier New" w:cs="Courier New"/>
            <w:color w:val="073A5E"/>
            <w:spacing w:val="2"/>
            <w:sz w:val="20"/>
            <w:szCs w:val="20"/>
          </w:rPr>
          <w:t>Правила</w:t>
        </w:r>
      </w:hyperlink>
      <w:r>
        <w:rPr>
          <w:rFonts w:ascii="Courier New" w:hAnsi="Courier New" w:cs="Courier New"/>
          <w:color w:val="000000"/>
          <w:spacing w:val="2"/>
          <w:sz w:val="20"/>
          <w:szCs w:val="20"/>
        </w:rPr>
        <w:t> организации учебного процесса по кредитной технологии обучения в организациях технического и профессионального, послесреднего образования.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размещение настоящего приказа на интернет-ресурсе Министерства просвещения Республики Казахстан после его официального опубликования;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Контроль за исполнением настоящего приказа возложить на курирующего вице-министра просвещения Республики Казахстан.</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A953D4" w:rsidTr="00A953D4">
        <w:tc>
          <w:tcPr>
            <w:tcW w:w="6000" w:type="dxa"/>
            <w:tcBorders>
              <w:top w:val="nil"/>
              <w:left w:val="nil"/>
              <w:bottom w:val="nil"/>
              <w:right w:val="nil"/>
            </w:tcBorders>
            <w:shd w:val="clear" w:color="auto" w:fill="auto"/>
            <w:tcMar>
              <w:top w:w="45" w:type="dxa"/>
              <w:left w:w="75" w:type="dxa"/>
              <w:bottom w:w="45" w:type="dxa"/>
              <w:right w:w="75" w:type="dxa"/>
            </w:tcMar>
            <w:hideMark/>
          </w:tcPr>
          <w:p w:rsidR="00A953D4" w:rsidRDefault="00A953D4">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w:t>
            </w:r>
            <w:bookmarkStart w:id="0" w:name="z12"/>
            <w:bookmarkEnd w:id="0"/>
            <w:r>
              <w:rPr>
                <w:rFonts w:ascii="Courier New" w:hAnsi="Courier New" w:cs="Courier New"/>
                <w:i/>
                <w:iCs/>
                <w:color w:val="000000"/>
                <w:sz w:val="20"/>
                <w:szCs w:val="20"/>
                <w:bdr w:val="none" w:sz="0" w:space="0" w:color="auto" w:frame="1"/>
              </w:rPr>
              <w:t>Министр просвещения</w:t>
            </w:r>
            <w:r>
              <w:rPr>
                <w:rFonts w:ascii="Courier New" w:hAnsi="Courier New" w:cs="Courier New"/>
                <w:i/>
                <w:iCs/>
                <w:color w:val="000000"/>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A953D4" w:rsidRDefault="00A953D4">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Г. Бейсембаев</w:t>
            </w:r>
          </w:p>
        </w:tc>
      </w:tr>
    </w:tbl>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"СОГЛАСОВАН"</w:t>
      </w:r>
      <w:r>
        <w:rPr>
          <w:rFonts w:ascii="Courier New" w:hAnsi="Courier New" w:cs="Courier New"/>
          <w:color w:val="000000"/>
          <w:spacing w:val="2"/>
          <w:sz w:val="20"/>
          <w:szCs w:val="20"/>
        </w:rPr>
        <w:br/>
        <w:t>Министерство здравоохранения</w:t>
      </w:r>
      <w:r>
        <w:rPr>
          <w:rFonts w:ascii="Courier New" w:hAnsi="Courier New" w:cs="Courier New"/>
          <w:color w:val="000000"/>
          <w:spacing w:val="2"/>
          <w:sz w:val="20"/>
          <w:szCs w:val="20"/>
        </w:rPr>
        <w:br/>
        <w:t>Республики Казахстан</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"СОГЛАСОВАН"</w:t>
      </w:r>
      <w:r>
        <w:rPr>
          <w:rFonts w:ascii="Courier New" w:hAnsi="Courier New" w:cs="Courier New"/>
          <w:color w:val="000000"/>
          <w:spacing w:val="2"/>
          <w:sz w:val="20"/>
          <w:szCs w:val="20"/>
        </w:rPr>
        <w:br/>
        <w:t>Министерство культуры и спорта</w:t>
      </w:r>
      <w:r>
        <w:rPr>
          <w:rFonts w:ascii="Courier New" w:hAnsi="Courier New" w:cs="Courier New"/>
          <w:color w:val="000000"/>
          <w:spacing w:val="2"/>
          <w:sz w:val="20"/>
          <w:szCs w:val="20"/>
        </w:rPr>
        <w:br/>
        <w:t>Республики Казахстан</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"СОГЛАСОВАН"</w:t>
      </w:r>
      <w:r>
        <w:rPr>
          <w:rFonts w:ascii="Courier New" w:hAnsi="Courier New" w:cs="Courier New"/>
          <w:color w:val="000000"/>
          <w:spacing w:val="2"/>
          <w:sz w:val="20"/>
          <w:szCs w:val="20"/>
        </w:rPr>
        <w:br/>
        <w:t>Министерство обороны</w:t>
      </w:r>
      <w:r>
        <w:rPr>
          <w:rFonts w:ascii="Courier New" w:hAnsi="Courier New" w:cs="Courier New"/>
          <w:color w:val="000000"/>
          <w:spacing w:val="2"/>
          <w:sz w:val="20"/>
          <w:szCs w:val="20"/>
        </w:rPr>
        <w:br/>
        <w:t>Республики Казахстан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A953D4" w:rsidTr="00A953D4">
        <w:tc>
          <w:tcPr>
            <w:tcW w:w="5805" w:type="dxa"/>
            <w:tcBorders>
              <w:top w:val="nil"/>
              <w:left w:val="nil"/>
              <w:bottom w:val="nil"/>
              <w:right w:val="nil"/>
            </w:tcBorders>
            <w:shd w:val="clear" w:color="auto" w:fill="auto"/>
            <w:tcMar>
              <w:top w:w="45" w:type="dxa"/>
              <w:left w:w="75" w:type="dxa"/>
              <w:bottom w:w="45" w:type="dxa"/>
              <w:right w:w="75" w:type="dxa"/>
            </w:tcMar>
            <w:hideMark/>
          </w:tcPr>
          <w:p w:rsidR="00A953D4" w:rsidRDefault="00A953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953D4" w:rsidRDefault="00A953D4">
            <w:pPr>
              <w:jc w:val="center"/>
              <w:rPr>
                <w:rFonts w:ascii="Courier New" w:hAnsi="Courier New" w:cs="Courier New"/>
                <w:color w:val="000000"/>
                <w:sz w:val="20"/>
                <w:szCs w:val="20"/>
              </w:rPr>
            </w:pPr>
            <w:bookmarkStart w:id="1" w:name="z16"/>
            <w:bookmarkEnd w:id="1"/>
            <w:r>
              <w:rPr>
                <w:rFonts w:ascii="Courier New" w:hAnsi="Courier New" w:cs="Courier New"/>
                <w:color w:val="000000"/>
                <w:sz w:val="20"/>
                <w:szCs w:val="20"/>
              </w:rPr>
              <w:t>Утверждены приказом</w:t>
            </w:r>
            <w:r>
              <w:rPr>
                <w:rFonts w:ascii="Courier New" w:hAnsi="Courier New" w:cs="Courier New"/>
                <w:color w:val="000000"/>
                <w:sz w:val="20"/>
                <w:szCs w:val="20"/>
              </w:rPr>
              <w:br/>
              <w:t>Министр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28 марта 2023 года № 75</w:t>
            </w:r>
          </w:p>
        </w:tc>
      </w:tr>
    </w:tbl>
    <w:p w:rsidR="00A953D4" w:rsidRDefault="00A953D4" w:rsidP="00A953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Правила организации учебного процесса по кредитной технологии обучения в организациях технического и профессионального, послесреднего образования</w:t>
      </w:r>
    </w:p>
    <w:p w:rsidR="00A953D4" w:rsidRDefault="00A953D4" w:rsidP="00A953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Настоящие Правила организации учебного процесса по кредитной технологии обучения в организациях технического и профессионального, послесреднего образования (далее – Правила) разработаны в соответствии с </w:t>
      </w:r>
      <w:hyperlink r:id="rId8" w:anchor="z526" w:history="1">
        <w:r>
          <w:rPr>
            <w:rStyle w:val="a4"/>
            <w:rFonts w:ascii="Courier New" w:hAnsi="Courier New" w:cs="Courier New"/>
            <w:color w:val="073A5E"/>
            <w:spacing w:val="2"/>
            <w:sz w:val="20"/>
            <w:szCs w:val="20"/>
          </w:rPr>
          <w:t>подпунктом 25)</w:t>
        </w:r>
      </w:hyperlink>
      <w:r>
        <w:rPr>
          <w:rFonts w:ascii="Courier New" w:hAnsi="Courier New" w:cs="Courier New"/>
          <w:color w:val="000000"/>
          <w:spacing w:val="2"/>
          <w:sz w:val="20"/>
          <w:szCs w:val="20"/>
        </w:rPr>
        <w:t> статьи 5 Закона Республики Казахстан "Об образовании" (далее - Закон) и определяют порядок организации учебного процесса по кредитной технологии обучения (далее – КТО) в организациях технического и профессионального, послесреднего образования (далее – организации ТиППО).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Правилах используются следующие основные понятия и определения: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академическая самостоятельность –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педагогов и применения инновационных технологий и методов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академический период (Term) (терм) – период теоретического и практического обучения, устанавливаемый самостоятельно организацией образования в форме семестра;</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академический кредит – унифицированная единица измерения объема учебной и (или) научной работы (нагрузки) обучающегося и (или) педагога;</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академический час – единица измерения продолжительности учебных занятий или других видов учебной работы, в военных, специальных учебных заведениях (далее – ВСУЗ)1 академический час равен не менее 40 минутам, для организаций ТиППО – 45 минут, используется при составлении графика учебного процесса,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активные раздаточные материалы (Hand-outs) (ханд-оутс)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итоговая аттестация обучающихся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академический рейтинг обучающегося (Rating) (рейтинг) –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индивидуальный учебный план (далее – ИУП) – учебный план, формируемый на каждый учебный год обучающимся самостоятельно с помощью организации ТиППО на основании образовательной программы и каталога элективных дисциплин и (или) модулей;</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 и (или) модулей;</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самостоятельная работа студента под руководством педагога (далее – СРСП) – работа студента, под руководством педагога, проводимая по расписанию занятий;</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15) постреквизиты (Postrequisite) (постреквизит)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пререквизиты (Prerequisite) (пререквизит)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самостоятельная работа студента (далее – СРС) – работа по определенному перечню тем, отведенных на самостоятельное изучение, обеспеченных учебно-методической литературой и рекомендациями; весь объем СРС подтверждается заданиями, требующими от обучающегося самостоятельной работы;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транскрипт (Transcript) (транскрипт) – документ, содержащий перечень освоенных учебных дисциплин и (или) модулей, и других видов учебной работы за соответствующий период обучения с указанием академических кредитов и оценок;</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средний балл успеваемости (Grade Point Average - GPA) (Грейд Пойнт Эверейдж)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неформальное образование – вид образования, осуществляемый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элективные дисциплины и (или) модули – учебные дисциплины и (или) модули, направленные на расширение и (или) углубление компетенций, выбираемые обучающимся в обязательном порядке для изучения при освоении образовательной программы.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Основными задачами организации учебного процесса по КТО являются: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описание квалификации результатами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группировка результатов обучения для формирования компетенций, являющихся составными элементами конкретной квалификации, отражающими ее содержание и структуру;</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усиление роли и эффективности самостоятельной работы обучающихся;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присвоение академических кредитов путем признания результатов обучения формального и неформального образования.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оценка учебных достижений, обучающихся через эффективную и прозрачную процедуру контроля и оценивания;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КТО включает:</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введение системы академических кредитов для измерения объема учебного материала и оценки трудозатрат обучающихся и педагогов по каждой учебной дисциплине и (или) модулям и другим видам учебной работы;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свободу выбора обучающимися учебных дисциплин и (или) модулей, включенных в каталог элективных дисциплин и (или) модулей (далее – КЭД/КЭМ), обеспечивающую их непосредственное участие в формировании ИУП, за исключением ВСУЗов;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использование интерактивных методов и инновационных технологий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активизацию самостоятельной работы обучающихся в освоении образовательной программы;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академическую свободу учебного заведения в организации учебного процесса, формировании образовательных программ в ТиППО;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обеспечение учебного процесса необходимыми учебными и методическими материалами, материально-техническими и информационными ресурсами;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эффективные методы контроля и оценки учебных достижений, а также результатов обучения обучающихся;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использование балльно-рейтинговой системы оценки учебных достижений, обучающихся по каждой учебной дисциплине и (или) модулю и другим видам учебной работы.</w:t>
      </w:r>
    </w:p>
    <w:p w:rsidR="00A953D4" w:rsidRDefault="00A953D4" w:rsidP="00A953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Организация учебного процесса по КТО в организациях ТиППО</w:t>
      </w:r>
    </w:p>
    <w:p w:rsidR="00A953D4" w:rsidRDefault="00A953D4" w:rsidP="00A953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1. Образовательные программы, основанные на результатах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Рабочие учебные планы и рабочие учебные программы разрабатываются на основе образовательной программы.</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Образовательные программы реализуются с ориентацией на результаты обучения, посредством оценки и подтверждения кредитов для присуждения </w:t>
      </w:r>
      <w:r>
        <w:rPr>
          <w:rFonts w:ascii="Courier New" w:hAnsi="Courier New" w:cs="Courier New"/>
          <w:color w:val="000000"/>
          <w:spacing w:val="2"/>
          <w:sz w:val="20"/>
          <w:szCs w:val="20"/>
        </w:rPr>
        <w:lastRenderedPageBreak/>
        <w:t>квалификации в течение всего периода обучения независимо от места, формы и срока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ВСУЗах содержание образовательных программ предусматривает изучение общеобразовательных, общегуманитарных, общепрофессиональных, специальных дисциплин, полевых выходов и прохождение войсковой стажировки.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В рабочем учебном плане определяется перечень и трудоемкость каждой учебной дисциплины и (или) модуля в кредитах, порядок их изучения, виды учебной деятельности и формы контроля, объем часов, отводимый на аудиторные занятия; объем часов, отводимый на самостоятельную работу студентов под руководством педагога (СРСП); объем часов, отводимый на самостоятельную работу студентов (СРС).</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Рабочий учебный план служит основой для расчета трудоемкости учебной работы обучающегося и педагога.</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Рабочий учебный план разрабатывается на весь период обучения и утверждается руководителем организации образования.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ВСУЗах в рабочем учебном плане определяется перечень и трудоемкость каждой учебной дисциплины и в кредитах, порядок их изучения, виды учебной деятельности и формы контроля.</w:t>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ВСУЗах рабочие учебные планы разрабатывается в соответствии с </w:t>
      </w:r>
      <w:hyperlink r:id="rId9" w:anchor="z49" w:history="1">
        <w:r>
          <w:rPr>
            <w:rStyle w:val="a4"/>
            <w:rFonts w:ascii="Courier New" w:hAnsi="Courier New" w:cs="Courier New"/>
            <w:color w:val="073A5E"/>
            <w:spacing w:val="2"/>
            <w:sz w:val="20"/>
            <w:szCs w:val="20"/>
          </w:rPr>
          <w:t>Правилами</w:t>
        </w:r>
      </w:hyperlink>
      <w:r>
        <w:rPr>
          <w:rFonts w:ascii="Courier New" w:hAnsi="Courier New" w:cs="Courier New"/>
          <w:color w:val="000000"/>
          <w:spacing w:val="2"/>
          <w:sz w:val="20"/>
          <w:szCs w:val="20"/>
        </w:rPr>
        <w:t>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утвержденных приказом Министра обороны Республики Казахстан от 22 января 2016 года № 31 (зарегистрирован в Реестре нормативных правовых актов под № 13342).</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По каждой образовательной программе организацией образования разрабатывается КЭД/КЭМ, за исключением ВСУЗов.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КЭД/КЭМ обеспечивает обучающимся возможность альтернативного выбора элективных учебных дисциплин и (или) модулей, для формирования индивидуальной образовательной траектории.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На основании образовательной программы и КЭД/КЭМ организацией образования совместно с обучающимися разрабатываются ИУПы, за исключением ВСУЗов.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ИУП определяет индивидуальную образовательную траекторию каждого обучающегося отдельно, составляется с учетом пререквизитов и постреквизитов и служит основой для актуализации компонента по выбору РУП. В ИУП включаются дисциплины и (или) модули и виды учебной деятельности. Форму и структуру ИУП определяются организацией образования самостоятельно.</w:t>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Рабочие учебные программы разрабатываются по всем дисциплинам и (или) модулям организациями образования самостоятельно с ориентиром на результаты обучения в соответствии </w:t>
      </w:r>
      <w:hyperlink r:id="rId10" w:anchor="z8488"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w:t>
      </w:r>
    </w:p>
    <w:p w:rsidR="00A953D4" w:rsidRDefault="00A953D4" w:rsidP="00A953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2. Учебный процесс по КТО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Организация учебного процесса осуществляется на основе графика учебного процесса, который утверждается руководителем организации образования.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графике учебного процесса указывается последовательность реализации образовательных программ по годам.</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График учебного процесса состоит из академических периодов, периодов промежуточной аттестации, каникул, профессиональной практики и (или) производственного обучения. На выпускном курсе в учебный год включается период итоговой аттестации.</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Продолжительность академических периодов и каникул определяются организациям ТиППО самостоятельно.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ВСУЗах учебный год составляет 52 недели, из которых каникулы составляют не менее 6 недель.</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Организация образования обеспечивает учебный процесс в полном объеме информационными источниками: учебниками, учебными пособиями, методическими пособиями и разработками по учебным дисциплинам и (или) модулям, активными раздаточными материалами и указаниями по самостоятельной работе, электронными учебниками, доступом к сетевым образовательным ресурсам.</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Профессиональная практика, является обязательным видом учебной работы обучающегося.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Основными видами профессиональной практики являются учебная, производственная, преддипломная, (войсковая стажировка для военных учебных заведений).</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Виды, сроки и содержание профессиональной практики определяются рабочими учебными планами и рабочими учебными программами, утвержденными организациями ТиППО.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В ВСУЗах продолжительность всех видов практик (полевые выходы, на полигонах, войсковая стажировка, учения) определяется в неделях, и планируется из расчета до 54 часов учебных занятий в неделю.</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Производственное обучение и профессиональная практика составляет не менее 40 % от общего объема общепрофессиональных и специальных дисциплин или от профессионального модуля (за исключением ВСУЗов).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Планирование учебной нагрузки педагогов осуществляется в кредитах или академических часах, представляющих собой время контактной работы педагога с обучающимся. При планировании объема учебной работы исходят из того, что один кредит равен 24 (двадцати четырем) академическим часам для всех ее видов. Один академический час по всем видам учебной работы равен 45 минутам.</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При КТО самостоятельная работа обучающихся подразделяется на две части: на самостоятельную работу, которая выполняется под руководством педагога (СРСП) и работу, которая выполняется полностью самостоятельно (СРС).</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СРСП входит в обязательную оплачиваемую нагрузку педагогов.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Весь объем СРС подтверждается заданиями, требующими от обучающегося самостоятельной работы, которое не входит в оплачиваемую нагрузку педагогов.</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Соотношение времени между аудиторной контактной работой, СРСП и СРС по всем видам учебной деятельности определяется организацией ТиППО самостоятельно. Объем аудиторной работы и СРСП составляет 60 кредитов /1440 часов в год, при этом объем СРСП составляет не более тридцати процентов от объема каждой дисциплины и/или модуля. Объем СРС составляет 15 кредитов /360 часов в год.</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Организация системы контроля учебных достижений, обучающихся осуществляется учебной частью.</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Учебная часть ведет историю учебных достижений, обучающихся в течение всего периода обучения, которая отражается в транскрипте. Транскрипт выдается по запросу обучающегося за любой период его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Присуждение академических кредитов обучающемуся по учебным дисциплинам и (или) модулям и иным видам учебной работы, а также по завершению изучения образовательной программы осуществляется при положительной оценке достигнутых им результатов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Достигнутые результаты обучения и положительные оценки, полученные обучающимся в формальном и неформальном образовании, признаются с перезачетом академических кредитов организациями ТиППО самостоятельно.</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Документами, подтверждающими результаты обучения, являются сертификат или свидетельство о завершении обучения.</w:t>
      </w:r>
    </w:p>
    <w:p w:rsidR="00A953D4" w:rsidRDefault="00A953D4" w:rsidP="00A953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признания результатов обучения организация образования создает комиссию. Комиссия состоит из нечетного количества членов, в состав которой входят педагоги организации образования. Из числа членов комиссии большинством голосов избирается председатель комиссии, который руководит деятельностью комиссии, а в случае его отсутствия заместитель председателя. Функции секретаря комиссии выполняет специалист организации образования, не являющийся членом комиссии.</w:t>
      </w:r>
    </w:p>
    <w:p w:rsidR="00A953D4" w:rsidRDefault="00A953D4" w:rsidP="00A953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комиссии оформляется протоколом. Протоколы ведутся в соответствии с </w:t>
      </w:r>
      <w:hyperlink r:id="rId11" w:anchor="z236" w:history="1">
        <w:r>
          <w:rPr>
            <w:rStyle w:val="a4"/>
            <w:rFonts w:ascii="Courier New" w:hAnsi="Courier New" w:cs="Courier New"/>
            <w:color w:val="073A5E"/>
            <w:spacing w:val="2"/>
            <w:sz w:val="20"/>
            <w:szCs w:val="20"/>
          </w:rPr>
          <w:t>Правилами</w:t>
        </w:r>
      </w:hyperlink>
      <w:r>
        <w:rPr>
          <w:rFonts w:ascii="Courier New" w:hAnsi="Courier New" w:cs="Courier New"/>
          <w:color w:val="000000"/>
          <w:spacing w:val="2"/>
          <w:sz w:val="20"/>
          <w:szCs w:val="20"/>
        </w:rPr>
        <w:t>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На основе решения комиссии, оценка результатов обучения вносится в транскрипт студента.</w:t>
      </w:r>
    </w:p>
    <w:p w:rsidR="00EF055B" w:rsidRDefault="00EF055B">
      <w:bookmarkStart w:id="2" w:name="_GoBack"/>
      <w:bookmarkEnd w:id="2"/>
    </w:p>
    <w:sectPr w:rsidR="00EF0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5A"/>
    <w:rsid w:val="00A953D4"/>
    <w:rsid w:val="00EF055B"/>
    <w:rsid w:val="00FD1F5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5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A953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3D4"/>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953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semiHidden/>
    <w:rsid w:val="00A953D4"/>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A953D4"/>
    <w:rPr>
      <w:color w:val="0000FF"/>
      <w:u w:val="single"/>
    </w:rPr>
  </w:style>
  <w:style w:type="character" w:customStyle="1" w:styleId="note">
    <w:name w:val="note"/>
    <w:basedOn w:val="a0"/>
    <w:rsid w:val="00A95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5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A953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3D4"/>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953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semiHidden/>
    <w:rsid w:val="00A953D4"/>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A953D4"/>
    <w:rPr>
      <w:color w:val="0000FF"/>
      <w:u w:val="single"/>
    </w:rPr>
  </w:style>
  <w:style w:type="character" w:customStyle="1" w:styleId="note">
    <w:name w:val="note"/>
    <w:basedOn w:val="a0"/>
    <w:rsid w:val="00A9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13067">
      <w:bodyDiv w:val="1"/>
      <w:marLeft w:val="0"/>
      <w:marRight w:val="0"/>
      <w:marTop w:val="0"/>
      <w:marBottom w:val="0"/>
      <w:divBdr>
        <w:top w:val="none" w:sz="0" w:space="0" w:color="auto"/>
        <w:left w:val="none" w:sz="0" w:space="0" w:color="auto"/>
        <w:bottom w:val="none" w:sz="0" w:space="0" w:color="auto"/>
        <w:right w:val="none" w:sz="0" w:space="0" w:color="auto"/>
      </w:divBdr>
    </w:div>
    <w:div w:id="12928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V230003214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2300032853" TargetMode="External"/><Relationship Id="rId11" Type="http://schemas.openxmlformats.org/officeDocument/2006/relationships/hyperlink" Target="https://adilet.zan.kz/rus/docs/P1800000703" TargetMode="External"/><Relationship Id="rId5" Type="http://schemas.openxmlformats.org/officeDocument/2006/relationships/hyperlink" Target="https://adilet.zan.kz/rus/docs/Z070000319_" TargetMode="External"/><Relationship Id="rId10" Type="http://schemas.openxmlformats.org/officeDocument/2006/relationships/hyperlink" Target="https://adilet.zan.kz/rus/docs/V2000020317" TargetMode="External"/><Relationship Id="rId4" Type="http://schemas.openxmlformats.org/officeDocument/2006/relationships/webSettings" Target="webSettings.xml"/><Relationship Id="rId9" Type="http://schemas.openxmlformats.org/officeDocument/2006/relationships/hyperlink" Target="https://adilet.zan.kz/rus/docs/V16000133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2802</Words>
  <Characters>15972</Characters>
  <Application>Microsoft Office Word</Application>
  <DocSecurity>0</DocSecurity>
  <Lines>133</Lines>
  <Paragraphs>37</Paragraphs>
  <ScaleCrop>false</ScaleCrop>
  <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2023-12-05T13:30:00Z</dcterms:created>
  <dcterms:modified xsi:type="dcterms:W3CDTF">2023-12-05T13:31:00Z</dcterms:modified>
</cp:coreProperties>
</file>